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CD847" w14:textId="77777777" w:rsidR="004A3F4C" w:rsidRDefault="004A3F4C" w:rsidP="004A3F4C">
      <w:pPr>
        <w:jc w:val="center"/>
        <w:rPr>
          <w:rFonts w:asciiTheme="majorHAnsi" w:hAnsiTheme="majorHAnsi" w:cstheme="majorHAnsi"/>
          <w:b/>
          <w:bCs/>
          <w:sz w:val="36"/>
          <w:szCs w:val="36"/>
        </w:rPr>
      </w:pPr>
      <w:r w:rsidRPr="004A3F4C">
        <w:rPr>
          <w:rFonts w:asciiTheme="majorHAnsi" w:hAnsiTheme="majorHAnsi" w:cstheme="majorHAnsi"/>
          <w:b/>
          <w:bCs/>
          <w:sz w:val="36"/>
          <w:szCs w:val="36"/>
        </w:rPr>
        <w:t xml:space="preserve">Príloha </w:t>
      </w:r>
    </w:p>
    <w:p w14:paraId="710B6662" w14:textId="77777777" w:rsidR="004A3F4C" w:rsidRDefault="004A3F4C" w:rsidP="004A3F4C">
      <w:pPr>
        <w:jc w:val="center"/>
        <w:rPr>
          <w:rFonts w:asciiTheme="majorHAnsi" w:hAnsiTheme="majorHAnsi" w:cstheme="majorHAnsi"/>
          <w:b/>
          <w:bCs/>
          <w:sz w:val="36"/>
          <w:szCs w:val="36"/>
        </w:rPr>
      </w:pPr>
      <w:r w:rsidRPr="004A3F4C">
        <w:rPr>
          <w:rFonts w:asciiTheme="majorHAnsi" w:hAnsiTheme="majorHAnsi" w:cstheme="majorHAnsi"/>
          <w:b/>
          <w:bCs/>
          <w:sz w:val="36"/>
          <w:szCs w:val="36"/>
        </w:rPr>
        <w:t xml:space="preserve">č. </w:t>
      </w:r>
      <w:r>
        <w:rPr>
          <w:rFonts w:asciiTheme="majorHAnsi" w:hAnsiTheme="majorHAnsi" w:cstheme="majorHAnsi"/>
          <w:b/>
          <w:bCs/>
          <w:sz w:val="36"/>
          <w:szCs w:val="36"/>
        </w:rPr>
        <w:t>1</w:t>
      </w:r>
      <w:r w:rsidRPr="004A3F4C">
        <w:rPr>
          <w:rFonts w:asciiTheme="majorHAnsi" w:hAnsiTheme="majorHAnsi" w:cstheme="majorHAnsi"/>
          <w:b/>
          <w:bCs/>
          <w:sz w:val="36"/>
          <w:szCs w:val="36"/>
        </w:rPr>
        <w:t xml:space="preserve"> </w:t>
      </w:r>
    </w:p>
    <w:p w14:paraId="51D2D08F" w14:textId="79E2134D" w:rsidR="004A3F4C" w:rsidRPr="004A3F4C" w:rsidRDefault="004A3F4C" w:rsidP="004A3F4C">
      <w:pPr>
        <w:jc w:val="center"/>
        <w:rPr>
          <w:rFonts w:asciiTheme="majorHAnsi" w:hAnsiTheme="majorHAnsi" w:cstheme="majorHAnsi"/>
          <w:sz w:val="36"/>
          <w:szCs w:val="36"/>
        </w:rPr>
      </w:pPr>
      <w:r w:rsidRPr="004A3F4C">
        <w:rPr>
          <w:rFonts w:asciiTheme="majorHAnsi" w:hAnsiTheme="majorHAnsi" w:cstheme="majorHAnsi"/>
          <w:sz w:val="36"/>
          <w:szCs w:val="36"/>
        </w:rPr>
        <w:t xml:space="preserve">k školskému poriadku </w:t>
      </w:r>
    </w:p>
    <w:p w14:paraId="73D97AF3" w14:textId="6FBBF98C" w:rsidR="004A3F4C" w:rsidRPr="00652AC9" w:rsidRDefault="004A3F4C" w:rsidP="004A3F4C">
      <w:pPr>
        <w:jc w:val="center"/>
        <w:rPr>
          <w:rFonts w:asciiTheme="majorHAnsi" w:hAnsiTheme="majorHAnsi" w:cstheme="majorHAnsi"/>
          <w:sz w:val="36"/>
          <w:szCs w:val="36"/>
        </w:rPr>
      </w:pPr>
      <w:r w:rsidRPr="00652AC9">
        <w:rPr>
          <w:rFonts w:asciiTheme="majorHAnsi" w:hAnsiTheme="majorHAnsi" w:cstheme="majorHAnsi"/>
          <w:sz w:val="36"/>
          <w:szCs w:val="36"/>
        </w:rPr>
        <w:t>Materskej školy Heydukova 25, 811 08 Bratislava</w:t>
      </w:r>
    </w:p>
    <w:p w14:paraId="3CB0FE8D" w14:textId="77777777" w:rsidR="004A3F4C" w:rsidRDefault="004A3F4C" w:rsidP="004A3F4C">
      <w:pPr>
        <w:jc w:val="center"/>
        <w:rPr>
          <w:rFonts w:asciiTheme="majorHAnsi" w:hAnsiTheme="majorHAnsi" w:cstheme="majorHAnsi"/>
          <w:b/>
          <w:bCs/>
          <w:sz w:val="36"/>
          <w:szCs w:val="36"/>
        </w:rPr>
      </w:pPr>
    </w:p>
    <w:p w14:paraId="52EDD99A" w14:textId="77777777" w:rsidR="004A3F4C" w:rsidRDefault="004A3F4C" w:rsidP="004A3F4C">
      <w:pPr>
        <w:jc w:val="center"/>
        <w:rPr>
          <w:rFonts w:asciiTheme="majorHAnsi" w:hAnsiTheme="majorHAnsi" w:cstheme="majorHAnsi"/>
          <w:b/>
          <w:bCs/>
          <w:sz w:val="36"/>
          <w:szCs w:val="36"/>
        </w:rPr>
      </w:pPr>
    </w:p>
    <w:p w14:paraId="6851F696" w14:textId="77777777" w:rsidR="004A3F4C" w:rsidRDefault="004A3F4C" w:rsidP="004A3F4C">
      <w:pPr>
        <w:jc w:val="center"/>
        <w:rPr>
          <w:rFonts w:asciiTheme="majorHAnsi" w:hAnsiTheme="majorHAnsi" w:cstheme="majorHAnsi"/>
          <w:b/>
          <w:bCs/>
          <w:sz w:val="36"/>
          <w:szCs w:val="36"/>
        </w:rPr>
      </w:pPr>
    </w:p>
    <w:p w14:paraId="2F613EDF" w14:textId="77777777" w:rsidR="004A3F4C" w:rsidRDefault="004A3F4C" w:rsidP="004A3F4C">
      <w:pPr>
        <w:jc w:val="center"/>
        <w:rPr>
          <w:rFonts w:asciiTheme="majorHAnsi" w:hAnsiTheme="majorHAnsi" w:cstheme="majorHAnsi"/>
          <w:b/>
          <w:bCs/>
          <w:sz w:val="36"/>
          <w:szCs w:val="36"/>
        </w:rPr>
      </w:pPr>
    </w:p>
    <w:p w14:paraId="19A6D9B2" w14:textId="77777777" w:rsidR="004A3F4C" w:rsidRDefault="004A3F4C" w:rsidP="004A3F4C">
      <w:pPr>
        <w:jc w:val="center"/>
        <w:rPr>
          <w:rFonts w:asciiTheme="majorHAnsi" w:hAnsiTheme="majorHAnsi" w:cstheme="majorHAnsi"/>
          <w:b/>
          <w:bCs/>
          <w:sz w:val="36"/>
          <w:szCs w:val="36"/>
        </w:rPr>
      </w:pPr>
    </w:p>
    <w:p w14:paraId="20B9A0FC" w14:textId="40B5CDD9" w:rsidR="004A3F4C" w:rsidRPr="004A3F4C" w:rsidRDefault="004A3F4C" w:rsidP="004A3F4C">
      <w:pPr>
        <w:jc w:val="center"/>
        <w:rPr>
          <w:rFonts w:asciiTheme="majorHAnsi" w:hAnsiTheme="majorHAnsi" w:cstheme="majorHAnsi"/>
          <w:sz w:val="36"/>
          <w:szCs w:val="36"/>
        </w:rPr>
      </w:pPr>
      <w:r w:rsidRPr="004A3F4C">
        <w:rPr>
          <w:rFonts w:asciiTheme="majorHAnsi" w:hAnsiTheme="majorHAnsi" w:cstheme="majorHAnsi"/>
          <w:b/>
          <w:bCs/>
          <w:sz w:val="36"/>
          <w:szCs w:val="36"/>
        </w:rPr>
        <w:t xml:space="preserve">ŠTANDARDY DORŽIAVANIA ZÁKAZU SEGREGÁCIE VO VÝCHOVE A VZDELÁVANÍ </w:t>
      </w:r>
    </w:p>
    <w:p w14:paraId="287F364B" w14:textId="77777777" w:rsidR="004A3F4C" w:rsidRDefault="004A3F4C" w:rsidP="004A3F4C">
      <w:pPr>
        <w:jc w:val="center"/>
        <w:rPr>
          <w:rFonts w:asciiTheme="majorHAnsi" w:hAnsiTheme="majorHAnsi" w:cstheme="majorHAnsi"/>
          <w:b/>
          <w:bCs/>
          <w:sz w:val="36"/>
          <w:szCs w:val="36"/>
        </w:rPr>
      </w:pPr>
    </w:p>
    <w:p w14:paraId="071C5D1E" w14:textId="77777777" w:rsidR="004A3F4C" w:rsidRDefault="004A3F4C" w:rsidP="004A3F4C">
      <w:pPr>
        <w:jc w:val="center"/>
        <w:rPr>
          <w:rFonts w:asciiTheme="majorHAnsi" w:hAnsiTheme="majorHAnsi" w:cstheme="majorHAnsi"/>
          <w:b/>
          <w:bCs/>
          <w:sz w:val="36"/>
          <w:szCs w:val="36"/>
        </w:rPr>
      </w:pPr>
    </w:p>
    <w:p w14:paraId="64F9B776" w14:textId="77777777" w:rsidR="004A3F4C" w:rsidRDefault="004A3F4C" w:rsidP="004A3F4C">
      <w:pPr>
        <w:jc w:val="center"/>
        <w:rPr>
          <w:rFonts w:asciiTheme="majorHAnsi" w:hAnsiTheme="majorHAnsi" w:cstheme="majorHAnsi"/>
          <w:b/>
          <w:bCs/>
          <w:sz w:val="36"/>
          <w:szCs w:val="36"/>
        </w:rPr>
      </w:pPr>
    </w:p>
    <w:p w14:paraId="2DA8E540" w14:textId="77777777" w:rsidR="004A3F4C" w:rsidRDefault="004A3F4C" w:rsidP="004A3F4C">
      <w:pPr>
        <w:jc w:val="center"/>
        <w:rPr>
          <w:rFonts w:asciiTheme="majorHAnsi" w:hAnsiTheme="majorHAnsi" w:cstheme="majorHAnsi"/>
          <w:b/>
          <w:bCs/>
          <w:sz w:val="36"/>
          <w:szCs w:val="36"/>
        </w:rPr>
      </w:pPr>
    </w:p>
    <w:p w14:paraId="2B56ED4A" w14:textId="77777777" w:rsidR="004A3F4C" w:rsidRDefault="004A3F4C" w:rsidP="004A3F4C">
      <w:pPr>
        <w:jc w:val="center"/>
        <w:rPr>
          <w:rFonts w:asciiTheme="majorHAnsi" w:hAnsiTheme="majorHAnsi" w:cstheme="majorHAnsi"/>
          <w:b/>
          <w:bCs/>
          <w:sz w:val="36"/>
          <w:szCs w:val="36"/>
        </w:rPr>
      </w:pPr>
    </w:p>
    <w:p w14:paraId="05C56620" w14:textId="77777777" w:rsidR="004A3F4C" w:rsidRDefault="004A3F4C" w:rsidP="004A3F4C">
      <w:pPr>
        <w:jc w:val="center"/>
        <w:rPr>
          <w:rFonts w:asciiTheme="majorHAnsi" w:hAnsiTheme="majorHAnsi" w:cstheme="majorHAnsi"/>
          <w:b/>
          <w:bCs/>
          <w:sz w:val="36"/>
          <w:szCs w:val="36"/>
        </w:rPr>
      </w:pPr>
    </w:p>
    <w:p w14:paraId="6BE02B3A" w14:textId="341413E6" w:rsidR="004A3F4C" w:rsidRDefault="00652AC9" w:rsidP="004A3F4C">
      <w:pPr>
        <w:jc w:val="center"/>
        <w:rPr>
          <w:rFonts w:asciiTheme="majorHAnsi" w:hAnsiTheme="majorHAnsi" w:cstheme="majorHAnsi"/>
          <w:b/>
          <w:bCs/>
          <w:sz w:val="36"/>
          <w:szCs w:val="36"/>
        </w:rPr>
      </w:pPr>
      <w:r w:rsidRPr="004A3F4C">
        <w:rPr>
          <w:rFonts w:asciiTheme="majorHAnsi" w:hAnsiTheme="majorHAnsi" w:cstheme="majorHAnsi"/>
          <w:b/>
          <w:bCs/>
          <w:sz w:val="24"/>
          <w:szCs w:val="24"/>
        </w:rPr>
        <w:t>školský rok 2024/2025</w:t>
      </w:r>
    </w:p>
    <w:p w14:paraId="6381650D" w14:textId="77777777" w:rsidR="004A3F4C" w:rsidRDefault="004A3F4C" w:rsidP="004A3F4C">
      <w:pPr>
        <w:jc w:val="center"/>
        <w:rPr>
          <w:rFonts w:asciiTheme="majorHAnsi" w:hAnsiTheme="majorHAnsi" w:cstheme="majorHAnsi"/>
          <w:b/>
          <w:bCs/>
          <w:sz w:val="36"/>
          <w:szCs w:val="36"/>
        </w:rPr>
      </w:pPr>
    </w:p>
    <w:p w14:paraId="60626BDA" w14:textId="014C401E" w:rsidR="00652AC9" w:rsidRPr="007E5C36" w:rsidRDefault="00652AC9" w:rsidP="00652AC9">
      <w:pPr>
        <w:pStyle w:val="Zkladntext"/>
        <w:spacing w:before="1" w:line="391" w:lineRule="auto"/>
        <w:ind w:right="3635"/>
        <w:jc w:val="left"/>
        <w:rPr>
          <w:rFonts w:ascii="Calibri Light" w:hAnsi="Calibri Light" w:cs="Calibri Light"/>
        </w:rPr>
      </w:pPr>
      <w:r w:rsidRPr="007E5C36">
        <w:rPr>
          <w:rFonts w:ascii="Calibri Light" w:hAnsi="Calibri Light" w:cs="Calibri Light"/>
        </w:rPr>
        <w:t>Telefónne</w:t>
      </w:r>
      <w:r w:rsidRPr="007E5C36">
        <w:rPr>
          <w:rFonts w:ascii="Calibri Light" w:hAnsi="Calibri Light" w:cs="Calibri Light"/>
          <w:spacing w:val="-6"/>
        </w:rPr>
        <w:t xml:space="preserve"> </w:t>
      </w:r>
      <w:r w:rsidRPr="007E5C36">
        <w:rPr>
          <w:rFonts w:ascii="Calibri Light" w:hAnsi="Calibri Light" w:cs="Calibri Light"/>
        </w:rPr>
        <w:t>čísla:</w:t>
      </w:r>
      <w:r w:rsidRPr="007E5C36">
        <w:rPr>
          <w:rFonts w:ascii="Calibri Light" w:hAnsi="Calibri Light" w:cs="Calibri Light"/>
          <w:spacing w:val="-5"/>
        </w:rPr>
        <w:t xml:space="preserve"> </w:t>
      </w:r>
      <w:r w:rsidRPr="007E5C36">
        <w:rPr>
          <w:rFonts w:ascii="Calibri Light" w:hAnsi="Calibri Light" w:cs="Calibri Light"/>
        </w:rPr>
        <w:t>02/52968666;</w:t>
      </w:r>
      <w:r w:rsidRPr="007E5C36">
        <w:rPr>
          <w:rFonts w:ascii="Calibri Light" w:hAnsi="Calibri Light" w:cs="Calibri Light"/>
          <w:spacing w:val="40"/>
        </w:rPr>
        <w:t xml:space="preserve"> </w:t>
      </w:r>
      <w:r w:rsidRPr="007E5C36">
        <w:rPr>
          <w:rFonts w:ascii="Calibri Light" w:hAnsi="Calibri Light" w:cs="Calibri Light"/>
        </w:rPr>
        <w:t>+421951</w:t>
      </w:r>
      <w:r w:rsidRPr="007E5C36">
        <w:rPr>
          <w:rFonts w:ascii="Calibri Light" w:hAnsi="Calibri Light" w:cs="Calibri Light"/>
          <w:spacing w:val="-6"/>
        </w:rPr>
        <w:t xml:space="preserve"> </w:t>
      </w:r>
      <w:r w:rsidRPr="007E5C36">
        <w:rPr>
          <w:rFonts w:ascii="Calibri Light" w:hAnsi="Calibri Light" w:cs="Calibri Light"/>
        </w:rPr>
        <w:t>868</w:t>
      </w:r>
      <w:r>
        <w:rPr>
          <w:rFonts w:ascii="Calibri Light" w:hAnsi="Calibri Light" w:cs="Calibri Light"/>
          <w:spacing w:val="-6"/>
        </w:rPr>
        <w:t> </w:t>
      </w:r>
      <w:r w:rsidRPr="007E5C36">
        <w:rPr>
          <w:rFonts w:ascii="Calibri Light" w:hAnsi="Calibri Light" w:cs="Calibri Light"/>
        </w:rPr>
        <w:t xml:space="preserve">251 Riaditeľka MŠ: Mgr. Dagmar Luknár </w:t>
      </w:r>
      <w:hyperlink r:id="rId8">
        <w:r w:rsidRPr="007E5C36">
          <w:rPr>
            <w:rFonts w:ascii="Calibri Light" w:hAnsi="Calibri Light" w:cs="Calibri Light"/>
            <w:spacing w:val="-2"/>
          </w:rPr>
          <w:t>msheydukova@staremesto.sk</w:t>
        </w:r>
      </w:hyperlink>
    </w:p>
    <w:p w14:paraId="0F5AD36E" w14:textId="77777777" w:rsidR="006E4681" w:rsidRDefault="006E4681" w:rsidP="004A3F4C">
      <w:pPr>
        <w:jc w:val="center"/>
        <w:rPr>
          <w:rFonts w:asciiTheme="majorHAnsi" w:hAnsiTheme="majorHAnsi" w:cstheme="majorHAnsi"/>
          <w:b/>
          <w:bCs/>
          <w:sz w:val="24"/>
          <w:szCs w:val="24"/>
        </w:rPr>
        <w:sectPr w:rsidR="006E4681" w:rsidSect="00E72F99">
          <w:footnotePr>
            <w:pos w:val="beneathText"/>
          </w:footnotePr>
          <w:type w:val="continuous"/>
          <w:pgSz w:w="11906" w:h="16838"/>
          <w:pgMar w:top="1417" w:right="1417" w:bottom="1417" w:left="1417" w:header="708" w:footer="708" w:gutter="0"/>
          <w:cols w:space="708"/>
          <w:docGrid w:linePitch="360"/>
        </w:sectPr>
      </w:pPr>
    </w:p>
    <w:p w14:paraId="3C4CCD52" w14:textId="09F2869E" w:rsidR="004A3F4C" w:rsidRPr="004A3F4C" w:rsidRDefault="004A3F4C" w:rsidP="004A3F4C">
      <w:pPr>
        <w:jc w:val="center"/>
        <w:rPr>
          <w:rFonts w:asciiTheme="majorHAnsi" w:hAnsiTheme="majorHAnsi" w:cstheme="majorHAnsi"/>
          <w:sz w:val="24"/>
          <w:szCs w:val="24"/>
        </w:rPr>
      </w:pPr>
      <w:r w:rsidRPr="004A3F4C">
        <w:rPr>
          <w:rFonts w:asciiTheme="majorHAnsi" w:hAnsiTheme="majorHAnsi" w:cstheme="majorHAnsi"/>
          <w:b/>
          <w:bCs/>
          <w:sz w:val="24"/>
          <w:szCs w:val="24"/>
        </w:rPr>
        <w:t xml:space="preserve">Článok 1 </w:t>
      </w:r>
    </w:p>
    <w:p w14:paraId="696D92A9" w14:textId="77777777" w:rsidR="004A3F4C" w:rsidRPr="004A3F4C" w:rsidRDefault="004A3F4C" w:rsidP="004A3F4C">
      <w:pPr>
        <w:jc w:val="center"/>
        <w:rPr>
          <w:rFonts w:asciiTheme="majorHAnsi" w:hAnsiTheme="majorHAnsi" w:cstheme="majorHAnsi"/>
          <w:sz w:val="24"/>
          <w:szCs w:val="24"/>
        </w:rPr>
      </w:pPr>
      <w:r w:rsidRPr="004A3F4C">
        <w:rPr>
          <w:rFonts w:asciiTheme="majorHAnsi" w:hAnsiTheme="majorHAnsi" w:cstheme="majorHAnsi"/>
          <w:sz w:val="24"/>
          <w:szCs w:val="24"/>
        </w:rPr>
        <w:lastRenderedPageBreak/>
        <w:t xml:space="preserve">Všeobecná časť </w:t>
      </w:r>
    </w:p>
    <w:p w14:paraId="2BA04F5D"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Pri dodržiavaní zákazu segregácie vo výchove a vzdelávaní škola a školské zariadenie postupuje podľa Štandardov dodržiavania zákazu segregácie vo výchove a vzdelávaní (ďalej len „Štandardy“), ktoré vydáva MŠVVaM SR a ich znenie je súčasťou prílohy školského poriadku. </w:t>
      </w:r>
    </w:p>
    <w:p w14:paraId="401160D3"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Štandardy sú </w:t>
      </w:r>
      <w:r w:rsidRPr="004A3F4C">
        <w:rPr>
          <w:rFonts w:asciiTheme="majorHAnsi" w:hAnsiTheme="majorHAnsi" w:cstheme="majorHAnsi"/>
          <w:b/>
          <w:bCs/>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4A3F4C">
        <w:rPr>
          <w:rFonts w:asciiTheme="majorHAnsi" w:hAnsiTheme="majorHAnsi" w:cstheme="majorHAnsi"/>
          <w:sz w:val="24"/>
          <w:szCs w:val="24"/>
        </w:rPr>
        <w:t xml:space="preserve">. Vychádzajú z ustanovení Dohovoru o právach dieťaťa: </w:t>
      </w:r>
    </w:p>
    <w:p w14:paraId="75BC67C6"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57E61110"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30296FA6" w14:textId="77777777" w:rsidR="004A3F4C" w:rsidRPr="004A3F4C" w:rsidRDefault="004A3F4C" w:rsidP="004A3F4C">
      <w:pPr>
        <w:jc w:val="both"/>
        <w:rPr>
          <w:rFonts w:asciiTheme="majorHAnsi" w:hAnsiTheme="majorHAnsi" w:cstheme="majorHAnsi"/>
          <w:b/>
          <w:bCs/>
          <w:sz w:val="24"/>
          <w:szCs w:val="24"/>
        </w:rPr>
      </w:pPr>
      <w:r w:rsidRPr="004A3F4C">
        <w:rPr>
          <w:rFonts w:asciiTheme="majorHAnsi" w:hAnsiTheme="majorHAnsi" w:cstheme="majorHAnsi"/>
          <w:sz w:val="24"/>
          <w:szCs w:val="24"/>
        </w:rPr>
        <w:t>Článok 3 ods. 1</w:t>
      </w:r>
      <w:r w:rsidRPr="004A3F4C">
        <w:rPr>
          <w:rFonts w:asciiTheme="majorHAnsi" w:hAnsiTheme="majorHAnsi" w:cstheme="majorHAnsi"/>
          <w:b/>
          <w:bCs/>
          <w:sz w:val="24"/>
          <w:szCs w:val="24"/>
        </w:rPr>
        <w:t xml:space="preserve">: Záujem dieťaťa musí byť prvoradým hľadiskom pri akejkoľvek činnosti týkajúcej sa detí, nech už uskutočňovanej verejnými alebo súkromnými zariadeniami sociálnej starostlivosti, súdmi, správnymi alebo zákonodarnými orgánmi. </w:t>
      </w:r>
    </w:p>
    <w:p w14:paraId="40AD0F2B"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Článok 29 ods. 1: Výchova a vzdelávanie dieťaťa má smerovať k: </w:t>
      </w:r>
    </w:p>
    <w:p w14:paraId="4A2BB29F" w14:textId="77777777" w:rsidR="004A3F4C" w:rsidRPr="004A3F4C" w:rsidRDefault="004A3F4C" w:rsidP="004A3F4C">
      <w:pPr>
        <w:numPr>
          <w:ilvl w:val="0"/>
          <w:numId w:val="1"/>
        </w:numPr>
        <w:jc w:val="both"/>
        <w:rPr>
          <w:rFonts w:asciiTheme="majorHAnsi" w:hAnsiTheme="majorHAnsi" w:cstheme="majorHAnsi"/>
          <w:sz w:val="24"/>
          <w:szCs w:val="24"/>
        </w:rPr>
      </w:pPr>
      <w:r w:rsidRPr="004A3F4C">
        <w:rPr>
          <w:rFonts w:asciiTheme="majorHAnsi" w:hAnsiTheme="majorHAnsi" w:cstheme="majorHAnsi"/>
          <w:sz w:val="24"/>
          <w:szCs w:val="24"/>
        </w:rPr>
        <w:t xml:space="preserve">a) rozvoju osobnosti dieťaťa, jeho jedinečných daností a duševných a fyzických schopností v ich najvyššej možnej miere; </w:t>
      </w:r>
    </w:p>
    <w:p w14:paraId="09705AFA" w14:textId="77777777" w:rsidR="004A3F4C" w:rsidRPr="004A3F4C" w:rsidRDefault="004A3F4C" w:rsidP="004A3F4C">
      <w:pPr>
        <w:numPr>
          <w:ilvl w:val="0"/>
          <w:numId w:val="1"/>
        </w:numPr>
        <w:jc w:val="both"/>
        <w:rPr>
          <w:rFonts w:asciiTheme="majorHAnsi" w:hAnsiTheme="majorHAnsi" w:cstheme="majorHAnsi"/>
          <w:sz w:val="24"/>
          <w:szCs w:val="24"/>
        </w:rPr>
      </w:pPr>
      <w:r w:rsidRPr="004A3F4C">
        <w:rPr>
          <w:rFonts w:asciiTheme="majorHAnsi" w:hAnsiTheme="majorHAnsi" w:cstheme="majorHAnsi"/>
          <w:sz w:val="24"/>
          <w:szCs w:val="24"/>
        </w:rPr>
        <w:t xml:space="preserve">b) rozvíjaniu úcty k ľudským právam a základným slobodám a k zásadám zakotveným v Charte Organizácie Spojených národov; </w:t>
      </w:r>
    </w:p>
    <w:p w14:paraId="365EDACC" w14:textId="77777777" w:rsidR="004A3F4C" w:rsidRPr="004A3F4C" w:rsidRDefault="004A3F4C" w:rsidP="004A3F4C">
      <w:pPr>
        <w:numPr>
          <w:ilvl w:val="0"/>
          <w:numId w:val="1"/>
        </w:numPr>
        <w:jc w:val="both"/>
        <w:rPr>
          <w:rFonts w:asciiTheme="majorHAnsi" w:hAnsiTheme="majorHAnsi" w:cstheme="majorHAnsi"/>
          <w:sz w:val="24"/>
          <w:szCs w:val="24"/>
        </w:rPr>
      </w:pPr>
      <w:r w:rsidRPr="004A3F4C">
        <w:rPr>
          <w:rFonts w:asciiTheme="majorHAnsi" w:hAnsiTheme="majorHAnsi" w:cstheme="majorHAnsi"/>
          <w:sz w:val="24"/>
          <w:szCs w:val="24"/>
        </w:rPr>
        <w:t xml:space="preserve">c) rozvíjaniu úcty k rodičom, k vlastnej kultúrnej, jazykovej a hodnotovej identite a k hodnotám krajiny, v ktorej dieťa žije i k hodnotám krajiny svojho pôvodu a k iným kultúram </w:t>
      </w:r>
    </w:p>
    <w:p w14:paraId="6FFCA3DD" w14:textId="77777777" w:rsidR="004A3F4C" w:rsidRPr="004A3F4C" w:rsidRDefault="004A3F4C" w:rsidP="004A3F4C">
      <w:pPr>
        <w:numPr>
          <w:ilvl w:val="0"/>
          <w:numId w:val="1"/>
        </w:numPr>
        <w:jc w:val="both"/>
        <w:rPr>
          <w:rFonts w:asciiTheme="majorHAnsi" w:hAnsiTheme="majorHAnsi" w:cstheme="majorHAnsi"/>
          <w:sz w:val="24"/>
          <w:szCs w:val="24"/>
        </w:rPr>
      </w:pPr>
      <w:r w:rsidRPr="004A3F4C">
        <w:rPr>
          <w:rFonts w:asciiTheme="majorHAnsi" w:hAnsiTheme="majorHAnsi" w:cstheme="majorHAnsi"/>
          <w:sz w:val="24"/>
          <w:szCs w:val="24"/>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14:paraId="4A275ABB" w14:textId="77777777" w:rsidR="004A3F4C" w:rsidRPr="004A3F4C" w:rsidRDefault="004A3F4C" w:rsidP="004A3F4C">
      <w:pPr>
        <w:numPr>
          <w:ilvl w:val="0"/>
          <w:numId w:val="1"/>
        </w:numPr>
        <w:jc w:val="both"/>
        <w:rPr>
          <w:rFonts w:asciiTheme="majorHAnsi" w:hAnsiTheme="majorHAnsi" w:cstheme="majorHAnsi"/>
          <w:sz w:val="24"/>
          <w:szCs w:val="24"/>
        </w:rPr>
      </w:pPr>
      <w:r w:rsidRPr="004A3F4C">
        <w:rPr>
          <w:rFonts w:asciiTheme="majorHAnsi" w:hAnsiTheme="majorHAnsi" w:cstheme="majorHAnsi"/>
          <w:sz w:val="24"/>
          <w:szCs w:val="24"/>
        </w:rPr>
        <w:t>e) rozvíjaniu úcty k prírodnému prostrediu.”</w:t>
      </w:r>
      <w:r w:rsidRPr="004A3F4C">
        <w:rPr>
          <w:rFonts w:asciiTheme="majorHAnsi" w:hAnsiTheme="majorHAnsi" w:cstheme="majorHAnsi"/>
          <w:sz w:val="24"/>
          <w:szCs w:val="24"/>
          <w:vertAlign w:val="superscript"/>
        </w:rPr>
        <w:t>31</w:t>
      </w:r>
      <w:r w:rsidRPr="004A3F4C">
        <w:rPr>
          <w:rFonts w:asciiTheme="majorHAnsi" w:hAnsiTheme="majorHAnsi" w:cstheme="majorHAnsi"/>
          <w:sz w:val="24"/>
          <w:szCs w:val="24"/>
        </w:rPr>
        <w:t xml:space="preserve"> </w:t>
      </w:r>
    </w:p>
    <w:p w14:paraId="62D0A51A" w14:textId="77777777" w:rsidR="004A3F4C" w:rsidRPr="004A3F4C" w:rsidRDefault="004A3F4C" w:rsidP="004A3F4C">
      <w:pPr>
        <w:jc w:val="both"/>
        <w:rPr>
          <w:rFonts w:asciiTheme="majorHAnsi" w:hAnsiTheme="majorHAnsi" w:cstheme="majorHAnsi"/>
          <w:sz w:val="24"/>
          <w:szCs w:val="24"/>
        </w:rPr>
      </w:pPr>
    </w:p>
    <w:p w14:paraId="111DE86C" w14:textId="77777777" w:rsid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Štandardy dodržiavania zákazu segregácie sú rozpracovaním a realizáciou praktickej časti Metodickej príručky desegregácie vo výchove a vzdelávaní</w:t>
      </w:r>
      <w:r w:rsidRPr="004A3F4C">
        <w:rPr>
          <w:rFonts w:asciiTheme="majorHAnsi" w:hAnsiTheme="majorHAnsi" w:cstheme="majorHAnsi"/>
          <w:sz w:val="24"/>
          <w:szCs w:val="24"/>
          <w:vertAlign w:val="superscript"/>
        </w:rPr>
        <w:t>32</w:t>
      </w:r>
      <w:r w:rsidRPr="004A3F4C">
        <w:rPr>
          <w:rFonts w:asciiTheme="majorHAnsi" w:hAnsiTheme="majorHAnsi" w:cstheme="majorHAnsi"/>
          <w:sz w:val="24"/>
          <w:szCs w:val="24"/>
        </w:rPr>
        <w:t xml:space="preserve">. </w:t>
      </w:r>
    </w:p>
    <w:p w14:paraId="74022DF5" w14:textId="31B914DC" w:rsidR="004A3F4C" w:rsidRPr="004A3F4C" w:rsidRDefault="004A3F4C" w:rsidP="004A3F4C">
      <w:pPr>
        <w:jc w:val="both"/>
        <w:rPr>
          <w:rFonts w:asciiTheme="majorHAnsi" w:hAnsiTheme="majorHAnsi" w:cstheme="majorHAnsi"/>
          <w:sz w:val="24"/>
          <w:szCs w:val="24"/>
          <w:vertAlign w:val="superscript"/>
        </w:rPr>
      </w:pPr>
      <w:r w:rsidRPr="004A3F4C">
        <w:rPr>
          <w:rFonts w:asciiTheme="majorHAnsi" w:hAnsiTheme="majorHAnsi" w:cstheme="majorHAnsi"/>
          <w:sz w:val="24"/>
          <w:szCs w:val="24"/>
        </w:rPr>
        <w:t xml:space="preserve">Štandardy v prepojení na metodickú príručku napomáhajú naplneniu princípu </w:t>
      </w:r>
      <w:r w:rsidRPr="004A3F4C">
        <w:rPr>
          <w:rFonts w:asciiTheme="majorHAnsi" w:hAnsiTheme="majorHAnsi" w:cstheme="majorHAnsi"/>
          <w:i/>
          <w:iCs/>
          <w:sz w:val="24"/>
          <w:szCs w:val="24"/>
        </w:rPr>
        <w:t>„zákazu všetkých foriem diskriminácie a obzvlášť segregácie“</w:t>
      </w:r>
      <w:r w:rsidRPr="004A3F4C">
        <w:rPr>
          <w:rFonts w:asciiTheme="majorHAnsi" w:hAnsiTheme="majorHAnsi" w:cstheme="majorHAnsi"/>
          <w:sz w:val="24"/>
          <w:szCs w:val="24"/>
          <w:vertAlign w:val="superscript"/>
        </w:rPr>
        <w:t>33</w:t>
      </w:r>
      <w:r w:rsidRPr="004A3F4C">
        <w:rPr>
          <w:rFonts w:asciiTheme="majorHAnsi" w:hAnsiTheme="majorHAnsi" w:cstheme="majorHAnsi"/>
          <w:sz w:val="24"/>
          <w:szCs w:val="24"/>
        </w:rPr>
        <w:t>. Segregáciu vo výchove a vzdelávaní definuje školský zákon nasledovne: „</w:t>
      </w:r>
      <w:r w:rsidRPr="004A3F4C">
        <w:rPr>
          <w:rFonts w:asciiTheme="majorHAnsi" w:hAnsiTheme="majorHAnsi" w:cstheme="majorHAnsi"/>
          <w:i/>
          <w:iCs/>
          <w:sz w:val="24"/>
          <w:szCs w:val="24"/>
        </w:rPr>
        <w:t>konanie alebo opomenutie konania, ktoré je v rozpore so zásadou rovnakého zaobchádzania podľa osobitného predpisu</w:t>
      </w:r>
      <w:r w:rsidRPr="004A3F4C">
        <w:rPr>
          <w:rFonts w:asciiTheme="majorHAnsi" w:hAnsiTheme="majorHAnsi" w:cstheme="majorHAnsi"/>
          <w:i/>
          <w:iCs/>
          <w:sz w:val="24"/>
          <w:szCs w:val="24"/>
          <w:vertAlign w:val="superscript"/>
        </w:rPr>
        <w:t>2a)</w:t>
      </w:r>
      <w:r w:rsidRPr="004A3F4C">
        <w:rPr>
          <w:rFonts w:asciiTheme="majorHAnsi" w:hAnsiTheme="majorHAnsi" w:cstheme="majorHAnsi"/>
          <w:i/>
          <w:iCs/>
          <w:sz w:val="24"/>
          <w:szCs w:val="24"/>
        </w:rPr>
        <w:t xml:space="preserve"> a v dôsledku ktorého dochádza alebo by </w:t>
      </w:r>
      <w:r w:rsidRPr="004A3F4C">
        <w:rPr>
          <w:rFonts w:asciiTheme="majorHAnsi" w:hAnsiTheme="majorHAnsi" w:cstheme="majorHAnsi"/>
          <w:i/>
          <w:iCs/>
          <w:sz w:val="24"/>
          <w:szCs w:val="24"/>
        </w:rPr>
        <w:lastRenderedPageBreak/>
        <w:t>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00E72F99">
        <w:rPr>
          <w:rFonts w:asciiTheme="majorHAnsi" w:hAnsiTheme="majorHAnsi" w:cstheme="majorHAnsi"/>
          <w:i/>
          <w:iCs/>
          <w:sz w:val="24"/>
          <w:szCs w:val="24"/>
        </w:rPr>
        <w:t xml:space="preserve"> </w:t>
      </w:r>
      <w:r w:rsidRPr="004A3F4C">
        <w:rPr>
          <w:rFonts w:asciiTheme="majorHAnsi" w:hAnsiTheme="majorHAnsi" w:cstheme="majorHAnsi"/>
          <w:i/>
          <w:iCs/>
          <w:sz w:val="24"/>
          <w:szCs w:val="24"/>
          <w:vertAlign w:val="superscript"/>
        </w:rPr>
        <w:t>2b)</w:t>
      </w:r>
      <w:r w:rsidRPr="004A3F4C">
        <w:rPr>
          <w:rFonts w:asciiTheme="majorHAnsi" w:hAnsiTheme="majorHAnsi" w:cstheme="majorHAnsi"/>
          <w:i/>
          <w:iCs/>
          <w:sz w:val="24"/>
          <w:szCs w:val="24"/>
        </w:rPr>
        <w:t xml:space="preserve"> pri uplatňovaní práv národnostných</w:t>
      </w:r>
      <w:r w:rsidR="00E72F99">
        <w:rPr>
          <w:rFonts w:asciiTheme="majorHAnsi" w:hAnsiTheme="majorHAnsi" w:cstheme="majorHAnsi"/>
          <w:i/>
          <w:iCs/>
          <w:sz w:val="24"/>
          <w:szCs w:val="24"/>
        </w:rPr>
        <w:t xml:space="preserve"> </w:t>
      </w:r>
      <w:r w:rsidRPr="004A3F4C">
        <w:rPr>
          <w:rFonts w:asciiTheme="majorHAnsi" w:hAnsiTheme="majorHAnsi" w:cstheme="majorHAnsi"/>
          <w:i/>
          <w:iCs/>
          <w:sz w:val="24"/>
          <w:szCs w:val="24"/>
        </w:rPr>
        <w:t>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4A3F4C">
        <w:rPr>
          <w:rFonts w:asciiTheme="majorHAnsi" w:hAnsiTheme="majorHAnsi" w:cstheme="majorHAnsi"/>
          <w:sz w:val="24"/>
          <w:szCs w:val="24"/>
        </w:rPr>
        <w:t>.“</w:t>
      </w:r>
      <w:r w:rsidRPr="004A3F4C">
        <w:rPr>
          <w:rFonts w:asciiTheme="majorHAnsi" w:hAnsiTheme="majorHAnsi" w:cstheme="majorHAnsi"/>
          <w:sz w:val="24"/>
          <w:szCs w:val="24"/>
          <w:vertAlign w:val="superscript"/>
        </w:rPr>
        <w:t xml:space="preserve">34 </w:t>
      </w:r>
    </w:p>
    <w:p w14:paraId="53B9ED5E"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Štandardy dodržiavania zákazu segregácie vo výchove a vzdelávaní sa týkajú všetkých oblastí, ktoré upravuje školský poriadok podľa školského zákona (Zákon č. 245/2008 Z. z., § 153 ods. 1): </w:t>
      </w:r>
    </w:p>
    <w:p w14:paraId="1ED410EF"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výkon práv a povinností žiakov a ich zákonných zástupcov v škole, pravidlá vzájomných vzťahov a vzťahov s pedagogickými zamestnancami a ďalšími zamestnancami školy, </w:t>
      </w:r>
    </w:p>
    <w:p w14:paraId="489A55E0"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prevádzka a vnútorný režim školy, </w:t>
      </w:r>
    </w:p>
    <w:p w14:paraId="63DD3CED"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podmienky na zaistenie bezpečnosti a ochrany zdravia detí a žiakov a ich ochrany pred sociálno-patologickými javmi, diskrimináciou alebo násilím, </w:t>
      </w:r>
    </w:p>
    <w:p w14:paraId="39774609"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podmienky nakladania s majetkom, ktorý škola alebo školské zariadenie spravuje, ak tak rozhodne zriaďovateľ. </w:t>
      </w:r>
    </w:p>
    <w:p w14:paraId="509421EB" w14:textId="77777777" w:rsidR="00E72F99" w:rsidRPr="004A3F4C" w:rsidRDefault="00E72F99" w:rsidP="00E72F99">
      <w:pPr>
        <w:jc w:val="both"/>
        <w:rPr>
          <w:rFonts w:asciiTheme="majorHAnsi" w:hAnsiTheme="majorHAnsi" w:cstheme="majorHAnsi"/>
          <w:sz w:val="24"/>
          <w:szCs w:val="24"/>
        </w:rPr>
      </w:pPr>
      <w:r w:rsidRPr="004A3F4C">
        <w:rPr>
          <w:rFonts w:asciiTheme="majorHAnsi" w:hAnsiTheme="majorHAnsi" w:cstheme="majorHAnsi"/>
          <w:sz w:val="24"/>
          <w:szCs w:val="24"/>
        </w:rPr>
        <w:t xml:space="preserve">Štandardy dodržiavania zákazu segregácie vo výchove a vzdelávaní definujeme ako Štandardy postojov a hodnôt a Štandardy vyplývajúce z definície segregácie vo výchove a vzdelávaní. </w:t>
      </w:r>
    </w:p>
    <w:p w14:paraId="6678DFC0" w14:textId="77777777" w:rsidR="00E72F99" w:rsidRDefault="00E72F99" w:rsidP="00E72F99">
      <w:pPr>
        <w:jc w:val="both"/>
        <w:rPr>
          <w:rFonts w:asciiTheme="majorHAnsi" w:hAnsiTheme="majorHAnsi" w:cstheme="majorHAnsi"/>
          <w:sz w:val="18"/>
          <w:szCs w:val="18"/>
        </w:rPr>
      </w:pPr>
    </w:p>
    <w:p w14:paraId="33DE0953" w14:textId="77777777" w:rsidR="004A3F4C" w:rsidRPr="004A3F4C" w:rsidRDefault="004A3F4C" w:rsidP="004A3F4C">
      <w:pPr>
        <w:jc w:val="center"/>
        <w:rPr>
          <w:rFonts w:asciiTheme="majorHAnsi" w:hAnsiTheme="majorHAnsi" w:cstheme="majorHAnsi"/>
          <w:sz w:val="24"/>
          <w:szCs w:val="24"/>
        </w:rPr>
      </w:pPr>
      <w:r w:rsidRPr="004A3F4C">
        <w:rPr>
          <w:rFonts w:asciiTheme="majorHAnsi" w:hAnsiTheme="majorHAnsi" w:cstheme="majorHAnsi"/>
          <w:b/>
          <w:bCs/>
          <w:sz w:val="24"/>
          <w:szCs w:val="24"/>
        </w:rPr>
        <w:t xml:space="preserve">Článok 2 </w:t>
      </w:r>
    </w:p>
    <w:p w14:paraId="2B9C0754" w14:textId="77777777" w:rsidR="00652AC9"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Štandardy dodržiavania zákazu segregácie vo výchove a vzdelávaní </w:t>
      </w:r>
    </w:p>
    <w:p w14:paraId="1268E9FB" w14:textId="2DA84641"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b/>
          <w:bCs/>
          <w:sz w:val="24"/>
          <w:szCs w:val="24"/>
        </w:rPr>
        <w:t xml:space="preserve">Štandardy postojov a hodnôt </w:t>
      </w:r>
    </w:p>
    <w:p w14:paraId="5DE5047E"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35EA4C76"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w:t>
      </w:r>
      <w:r w:rsidRPr="004A3F4C">
        <w:rPr>
          <w:rFonts w:asciiTheme="majorHAnsi" w:hAnsiTheme="majorHAnsi" w:cstheme="majorHAnsi"/>
          <w:sz w:val="24"/>
          <w:szCs w:val="24"/>
          <w:vertAlign w:val="superscript"/>
        </w:rPr>
        <w:t>35</w:t>
      </w:r>
      <w:r w:rsidRPr="004A3F4C">
        <w:rPr>
          <w:rFonts w:asciiTheme="majorHAnsi" w:hAnsiTheme="majorHAnsi" w:cstheme="majorHAnsi"/>
          <w:sz w:val="24"/>
          <w:szCs w:val="24"/>
        </w:rPr>
        <w:t xml:space="preserve">. Deskriptory sú popisy a vysvetlenia týkajúce sa konkrétneho žiadúceho správania všetkých aktérov vo vzdelávaní: </w:t>
      </w:r>
    </w:p>
    <w:p w14:paraId="788419EA"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Zaobchádzať so všetkými ľuďmi bez rozdielu s rešpektom, </w:t>
      </w:r>
    </w:p>
    <w:p w14:paraId="7EE3180C"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lastRenderedPageBreak/>
        <w:t xml:space="preserve">▪ Vyjadrovať úctu všetkým bez rozdielu a vnímať rozmanitosť ako príležitosť a prínos pre školu pri príprave a realizovaní aktivít výchovno-vzdelávacieho procesu. </w:t>
      </w:r>
    </w:p>
    <w:p w14:paraId="691E6FE1"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Vyjadrovať druhým ľuďom uznanie ako rovnocenným ľudským bytostiam. </w:t>
      </w:r>
    </w:p>
    <w:p w14:paraId="4FB6FDC1"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Rešpektovať ľudí rôzneho vierovyznania. </w:t>
      </w:r>
    </w:p>
    <w:p w14:paraId="3A31A7FC"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Rešpektovať ľudí, ktorí majú odlišné politické názory. </w:t>
      </w:r>
    </w:p>
    <w:p w14:paraId="1E064458"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Prejavovať záujem spoznať presvedčenia, hodnoty, tradície a pohľady druhých ľudí na svet. </w:t>
      </w:r>
    </w:p>
    <w:p w14:paraId="7178969E"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Dávať priestor druhým ľuďom na vyjadrenie sa. </w:t>
      </w:r>
    </w:p>
    <w:p w14:paraId="3A372382"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Preukázať prebratie zodpovednosti za svoje skutky. </w:t>
      </w:r>
    </w:p>
    <w:p w14:paraId="41A11184"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Ospravedlniť sa, pokiaľ niekomu ublížim. </w:t>
      </w:r>
    </w:p>
    <w:p w14:paraId="5B29DBD4"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xml:space="preserve">▪ Vyjadrovať vôľu a záujem spolupracovať a pracovať s druhými ľuďmi na presadzovaní spoločných záujmov. </w:t>
      </w:r>
    </w:p>
    <w:p w14:paraId="6FE33CEA" w14:textId="77777777" w:rsidR="004A3F4C" w:rsidRPr="004A3F4C" w:rsidRDefault="004A3F4C" w:rsidP="004A3F4C">
      <w:pPr>
        <w:jc w:val="both"/>
        <w:rPr>
          <w:rFonts w:asciiTheme="majorHAnsi" w:hAnsiTheme="majorHAnsi" w:cstheme="majorHAnsi"/>
          <w:sz w:val="24"/>
          <w:szCs w:val="24"/>
        </w:rPr>
      </w:pPr>
    </w:p>
    <w:p w14:paraId="7BA4C23C"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b/>
          <w:bCs/>
          <w:sz w:val="24"/>
          <w:szCs w:val="24"/>
        </w:rPr>
        <w:t xml:space="preserve">Štandardy vyplývajúce z definície segregácie vo výchove a vzdelávaní: </w:t>
      </w:r>
    </w:p>
    <w:p w14:paraId="7ABC60EB" w14:textId="77777777" w:rsidR="004A3F4C" w:rsidRPr="004A3F4C" w:rsidRDefault="004A3F4C" w:rsidP="004A3F4C">
      <w:pPr>
        <w:jc w:val="both"/>
        <w:rPr>
          <w:rFonts w:asciiTheme="majorHAnsi" w:hAnsiTheme="majorHAnsi" w:cstheme="majorHAnsi"/>
          <w:sz w:val="24"/>
          <w:szCs w:val="24"/>
        </w:rPr>
      </w:pPr>
      <w:r w:rsidRPr="004A3F4C">
        <w:rPr>
          <w:rFonts w:asciiTheme="majorHAnsi" w:hAnsiTheme="majorHAnsi" w:cstheme="majorHAnsi"/>
          <w:sz w:val="24"/>
          <w:szCs w:val="24"/>
        </w:rPr>
        <w:t>▪ 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Pr="004A3F4C">
        <w:rPr>
          <w:rFonts w:asciiTheme="majorHAnsi" w:hAnsiTheme="majorHAnsi" w:cstheme="majorHAnsi"/>
          <w:sz w:val="24"/>
          <w:szCs w:val="24"/>
          <w:vertAlign w:val="superscript"/>
        </w:rPr>
        <w:t>36</w:t>
      </w:r>
      <w:r w:rsidRPr="004A3F4C">
        <w:rPr>
          <w:rFonts w:asciiTheme="majorHAnsi" w:hAnsiTheme="majorHAnsi" w:cstheme="majorHAnsi"/>
          <w:sz w:val="24"/>
          <w:szCs w:val="24"/>
        </w:rPr>
        <w:t xml:space="preserve">. </w:t>
      </w:r>
    </w:p>
    <w:p w14:paraId="27DF1195" w14:textId="77777777" w:rsidR="004A3F4C" w:rsidRPr="004A3F4C" w:rsidRDefault="004A3F4C" w:rsidP="004A3F4C">
      <w:pPr>
        <w:jc w:val="both"/>
        <w:rPr>
          <w:rFonts w:asciiTheme="majorHAnsi" w:hAnsiTheme="majorHAnsi" w:cstheme="majorHAnsi"/>
          <w:sz w:val="24"/>
          <w:szCs w:val="24"/>
        </w:rPr>
      </w:pPr>
    </w:p>
    <w:p w14:paraId="52322FC5" w14:textId="77777777" w:rsidR="004A3F4C" w:rsidRPr="004A3F4C" w:rsidRDefault="004A3F4C" w:rsidP="004A3F4C">
      <w:pPr>
        <w:numPr>
          <w:ilvl w:val="0"/>
          <w:numId w:val="2"/>
        </w:numPr>
        <w:jc w:val="both"/>
        <w:rPr>
          <w:rFonts w:asciiTheme="majorHAnsi" w:hAnsiTheme="majorHAnsi" w:cstheme="majorHAnsi"/>
          <w:sz w:val="24"/>
          <w:szCs w:val="24"/>
        </w:rPr>
      </w:pPr>
      <w:r w:rsidRPr="004A3F4C">
        <w:rPr>
          <w:rFonts w:asciiTheme="majorHAnsi" w:hAnsiTheme="majorHAnsi" w:cstheme="majorHAnsi"/>
          <w:b/>
          <w:bCs/>
          <w:sz w:val="24"/>
          <w:szCs w:val="24"/>
        </w:rPr>
        <w:t xml:space="preserve">a) Štandardy priestorovej desegregácie: </w:t>
      </w:r>
    </w:p>
    <w:p w14:paraId="71AD348A" w14:textId="77777777" w:rsidR="00652AC9" w:rsidRDefault="004A3F4C" w:rsidP="00652AC9">
      <w:pPr>
        <w:numPr>
          <w:ilvl w:val="0"/>
          <w:numId w:val="2"/>
        </w:numPr>
        <w:jc w:val="both"/>
        <w:rPr>
          <w:rFonts w:asciiTheme="majorHAnsi" w:hAnsiTheme="majorHAnsi" w:cstheme="majorHAnsi"/>
          <w:sz w:val="24"/>
          <w:szCs w:val="24"/>
        </w:rPr>
      </w:pPr>
      <w:r w:rsidRPr="004A3F4C">
        <w:rPr>
          <w:rFonts w:asciiTheme="majorHAnsi" w:hAnsiTheme="majorHAnsi" w:cstheme="majorHAnsi"/>
          <w:sz w:val="24"/>
          <w:szCs w:val="24"/>
        </w:rPr>
        <w:t>▪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w:t>
      </w:r>
      <w:r w:rsidRPr="004A3F4C">
        <w:rPr>
          <w:rFonts w:asciiTheme="majorHAnsi" w:hAnsiTheme="majorHAnsi" w:cstheme="majorHAnsi"/>
          <w:sz w:val="24"/>
          <w:szCs w:val="24"/>
          <w:vertAlign w:val="superscript"/>
        </w:rPr>
        <w:t>37</w:t>
      </w:r>
      <w:r w:rsidRPr="004A3F4C">
        <w:rPr>
          <w:rFonts w:asciiTheme="majorHAnsi" w:hAnsiTheme="majorHAnsi" w:cstheme="majorHAnsi"/>
          <w:sz w:val="24"/>
          <w:szCs w:val="24"/>
        </w:rPr>
        <w:t xml:space="preserve">. </w:t>
      </w:r>
    </w:p>
    <w:p w14:paraId="6C4A1F37" w14:textId="73BB40AD" w:rsidR="004A3F4C" w:rsidRPr="004A3F4C" w:rsidRDefault="004A3F4C" w:rsidP="00652AC9">
      <w:pPr>
        <w:numPr>
          <w:ilvl w:val="0"/>
          <w:numId w:val="2"/>
        </w:numPr>
        <w:jc w:val="both"/>
        <w:rPr>
          <w:rFonts w:asciiTheme="majorHAnsi" w:hAnsiTheme="majorHAnsi" w:cstheme="majorHAnsi"/>
          <w:sz w:val="24"/>
          <w:szCs w:val="24"/>
        </w:rPr>
      </w:pPr>
      <w:r w:rsidRPr="004A3F4C">
        <w:rPr>
          <w:rFonts w:asciiTheme="majorHAnsi" w:hAnsiTheme="majorHAnsi" w:cstheme="majorHAnsi"/>
          <w:sz w:val="24"/>
          <w:szCs w:val="24"/>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729C7B1C" w14:textId="6246C217" w:rsidR="004A3F4C" w:rsidRPr="004A3F4C" w:rsidRDefault="004A3F4C" w:rsidP="004A3F4C">
      <w:pPr>
        <w:numPr>
          <w:ilvl w:val="0"/>
          <w:numId w:val="2"/>
        </w:numPr>
        <w:jc w:val="both"/>
        <w:rPr>
          <w:rFonts w:asciiTheme="majorHAnsi" w:hAnsiTheme="majorHAnsi" w:cstheme="majorHAnsi"/>
          <w:sz w:val="24"/>
          <w:szCs w:val="24"/>
        </w:rPr>
      </w:pPr>
      <w:r w:rsidRPr="004A3F4C">
        <w:rPr>
          <w:rFonts w:asciiTheme="majorHAnsi" w:hAnsiTheme="majorHAnsi" w:cstheme="majorHAnsi"/>
          <w:sz w:val="24"/>
          <w:szCs w:val="24"/>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782BE45E" w14:textId="77777777" w:rsidR="004A3F4C" w:rsidRPr="004A3F4C" w:rsidRDefault="004A3F4C" w:rsidP="004A3F4C">
      <w:pPr>
        <w:jc w:val="both"/>
        <w:rPr>
          <w:rFonts w:asciiTheme="majorHAnsi" w:hAnsiTheme="majorHAnsi" w:cstheme="majorHAnsi"/>
          <w:sz w:val="24"/>
          <w:szCs w:val="24"/>
        </w:rPr>
      </w:pPr>
    </w:p>
    <w:p w14:paraId="46E4EC73" w14:textId="77777777" w:rsidR="004A3F4C" w:rsidRPr="004A3F4C" w:rsidRDefault="004A3F4C" w:rsidP="004A3F4C">
      <w:pPr>
        <w:numPr>
          <w:ilvl w:val="0"/>
          <w:numId w:val="3"/>
        </w:numPr>
        <w:jc w:val="both"/>
        <w:rPr>
          <w:rFonts w:asciiTheme="majorHAnsi" w:hAnsiTheme="majorHAnsi" w:cstheme="majorHAnsi"/>
          <w:sz w:val="24"/>
          <w:szCs w:val="24"/>
        </w:rPr>
      </w:pPr>
      <w:r w:rsidRPr="004A3F4C">
        <w:rPr>
          <w:rFonts w:asciiTheme="majorHAnsi" w:hAnsiTheme="majorHAnsi" w:cstheme="majorHAnsi"/>
          <w:b/>
          <w:bCs/>
          <w:sz w:val="24"/>
          <w:szCs w:val="24"/>
        </w:rPr>
        <w:t xml:space="preserve">b) Štandardy organizačnej desegregácie: </w:t>
      </w:r>
    </w:p>
    <w:p w14:paraId="574FCCD2" w14:textId="045D2C4F" w:rsidR="004A3F4C" w:rsidRPr="004A3F4C" w:rsidRDefault="004A3F4C" w:rsidP="004A3F4C">
      <w:pPr>
        <w:numPr>
          <w:ilvl w:val="0"/>
          <w:numId w:val="3"/>
        </w:numPr>
        <w:jc w:val="both"/>
        <w:rPr>
          <w:rFonts w:asciiTheme="majorHAnsi" w:hAnsiTheme="majorHAnsi" w:cstheme="majorHAnsi"/>
          <w:sz w:val="24"/>
          <w:szCs w:val="24"/>
        </w:rPr>
      </w:pPr>
      <w:r w:rsidRPr="004A3F4C">
        <w:rPr>
          <w:rFonts w:asciiTheme="majorHAnsi" w:hAnsiTheme="majorHAnsi" w:cstheme="majorHAnsi"/>
          <w:sz w:val="24"/>
          <w:szCs w:val="24"/>
        </w:rPr>
        <w:lastRenderedPageBreak/>
        <w:t>Škola alebo školské zariadenie má nastavenú organizáciu školského vyučovania a denný program tak, aby nedochádzalo k vylučovaniu a neprípustnému oddeľovaniu niektorej skupiny žiakov a poslucháčov</w:t>
      </w:r>
      <w:r w:rsidRPr="004A3F4C">
        <w:rPr>
          <w:rFonts w:asciiTheme="majorHAnsi" w:hAnsiTheme="majorHAnsi" w:cstheme="majorHAnsi"/>
          <w:sz w:val="24"/>
          <w:szCs w:val="24"/>
          <w:vertAlign w:val="superscript"/>
        </w:rPr>
        <w:t>38</w:t>
      </w:r>
      <w:r w:rsidRPr="004A3F4C">
        <w:rPr>
          <w:rFonts w:asciiTheme="majorHAnsi" w:hAnsiTheme="majorHAnsi" w:cstheme="majorHAnsi"/>
          <w:sz w:val="24"/>
          <w:szCs w:val="24"/>
        </w:rPr>
        <w:t xml:space="preserve">. </w:t>
      </w:r>
    </w:p>
    <w:p w14:paraId="2B717459" w14:textId="756D930E" w:rsidR="004A3F4C" w:rsidRPr="004A3F4C" w:rsidRDefault="004A3F4C" w:rsidP="004A3F4C">
      <w:pPr>
        <w:numPr>
          <w:ilvl w:val="0"/>
          <w:numId w:val="3"/>
        </w:numPr>
        <w:jc w:val="both"/>
        <w:rPr>
          <w:rFonts w:asciiTheme="majorHAnsi" w:hAnsiTheme="majorHAnsi" w:cstheme="majorHAnsi"/>
          <w:sz w:val="24"/>
          <w:szCs w:val="24"/>
        </w:rPr>
      </w:pPr>
      <w:r w:rsidRPr="004A3F4C">
        <w:rPr>
          <w:rFonts w:asciiTheme="majorHAnsi" w:hAnsiTheme="majorHAnsi" w:cstheme="majorHAnsi"/>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program39, individuálny učebný plán40 alebo poskytnuté podporné opatrenia</w:t>
      </w:r>
      <w:r w:rsidRPr="004A3F4C">
        <w:rPr>
          <w:rFonts w:asciiTheme="majorHAnsi" w:hAnsiTheme="majorHAnsi" w:cstheme="majorHAnsi"/>
          <w:sz w:val="24"/>
          <w:szCs w:val="24"/>
          <w:vertAlign w:val="superscript"/>
        </w:rPr>
        <w:t>41</w:t>
      </w:r>
      <w:r w:rsidRPr="004A3F4C">
        <w:rPr>
          <w:rFonts w:asciiTheme="majorHAnsi" w:hAnsiTheme="majorHAnsi" w:cstheme="majorHAnsi"/>
          <w:sz w:val="24"/>
          <w:szCs w:val="24"/>
        </w:rPr>
        <w:t xml:space="preserve">. </w:t>
      </w:r>
    </w:p>
    <w:p w14:paraId="7C9A1994" w14:textId="77777777" w:rsidR="00652AC9" w:rsidRDefault="004A3F4C" w:rsidP="004A3F4C">
      <w:pPr>
        <w:numPr>
          <w:ilvl w:val="0"/>
          <w:numId w:val="3"/>
        </w:numPr>
        <w:jc w:val="both"/>
        <w:rPr>
          <w:rFonts w:asciiTheme="majorHAnsi" w:hAnsiTheme="majorHAnsi" w:cstheme="majorHAnsi"/>
          <w:sz w:val="24"/>
          <w:szCs w:val="24"/>
        </w:rPr>
      </w:pPr>
      <w:r w:rsidRPr="004A3F4C">
        <w:rPr>
          <w:rFonts w:asciiTheme="majorHAnsi" w:hAnsiTheme="majorHAnsi" w:cstheme="majorHAnsi"/>
          <w:sz w:val="24"/>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14:paraId="16D4D6CB" w14:textId="7E46C901" w:rsidR="004A3F4C" w:rsidRPr="004A3F4C" w:rsidRDefault="004A3F4C" w:rsidP="004A3F4C">
      <w:pPr>
        <w:numPr>
          <w:ilvl w:val="0"/>
          <w:numId w:val="3"/>
        </w:numPr>
        <w:jc w:val="both"/>
        <w:rPr>
          <w:rFonts w:asciiTheme="majorHAnsi" w:hAnsiTheme="majorHAnsi" w:cstheme="majorHAnsi"/>
          <w:sz w:val="24"/>
          <w:szCs w:val="24"/>
        </w:rPr>
      </w:pPr>
      <w:r w:rsidRPr="004A3F4C">
        <w:rPr>
          <w:rFonts w:asciiTheme="majorHAnsi" w:hAnsiTheme="majorHAnsi" w:cstheme="majorHAnsi"/>
          <w:sz w:val="24"/>
          <w:szCs w:val="24"/>
        </w:rPr>
        <w:t>Škola alebo školské zariadenie je povinné využiť všetky dostupné prostriedky, nástroje a metódy, aby umožnila prístup ku vzdelávaniu v maximálnej miere všetkým skupinám žiakov aj v prípade krízových udalostí v škole</w:t>
      </w:r>
      <w:r w:rsidRPr="004A3F4C">
        <w:rPr>
          <w:rFonts w:asciiTheme="majorHAnsi" w:hAnsiTheme="majorHAnsi" w:cstheme="majorHAnsi"/>
          <w:sz w:val="24"/>
          <w:szCs w:val="24"/>
          <w:vertAlign w:val="superscript"/>
        </w:rPr>
        <w:t>42</w:t>
      </w:r>
      <w:r w:rsidRPr="004A3F4C">
        <w:rPr>
          <w:rFonts w:asciiTheme="majorHAnsi" w:hAnsiTheme="majorHAnsi" w:cstheme="majorHAnsi"/>
          <w:sz w:val="24"/>
          <w:szCs w:val="24"/>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7E40E649" w14:textId="341815E2" w:rsidR="004A3F4C" w:rsidRPr="004A3F4C" w:rsidRDefault="00652AC9" w:rsidP="004A3F4C">
      <w:pPr>
        <w:jc w:val="both"/>
        <w:rPr>
          <w:rFonts w:asciiTheme="majorHAnsi" w:hAnsiTheme="majorHAnsi" w:cstheme="majorHAnsi"/>
          <w:sz w:val="24"/>
          <w:szCs w:val="24"/>
        </w:rPr>
      </w:pPr>
      <w:r>
        <w:rPr>
          <w:rStyle w:val="Odkaznapoznmkupodiarou"/>
          <w:rFonts w:asciiTheme="majorHAnsi" w:hAnsiTheme="majorHAnsi" w:cstheme="majorHAnsi"/>
          <w:sz w:val="24"/>
          <w:szCs w:val="24"/>
        </w:rPr>
        <w:footnoteReference w:id="1"/>
      </w:r>
    </w:p>
    <w:p w14:paraId="23E4607A" w14:textId="77777777"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b/>
          <w:bCs/>
          <w:sz w:val="24"/>
          <w:szCs w:val="24"/>
        </w:rPr>
        <w:t xml:space="preserve">c) Štandardy sociálnej desegregácie </w:t>
      </w:r>
    </w:p>
    <w:p w14:paraId="0B55DE1F" w14:textId="5538EB21"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sz w:val="24"/>
          <w:szCs w:val="24"/>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 </w:t>
      </w:r>
    </w:p>
    <w:p w14:paraId="78370EC5" w14:textId="5B5EDCE2"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sz w:val="24"/>
          <w:szCs w:val="24"/>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733E8EA7" w14:textId="539C0D56"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sz w:val="24"/>
          <w:szCs w:val="24"/>
        </w:rPr>
        <w:lastRenderedPageBreak/>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41F39CDF" w14:textId="38429249"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sz w:val="24"/>
          <w:szCs w:val="24"/>
        </w:rPr>
        <w:t>V</w:t>
      </w:r>
      <w:r w:rsidR="00652AC9">
        <w:rPr>
          <w:rFonts w:asciiTheme="majorHAnsi" w:hAnsiTheme="majorHAnsi" w:cstheme="majorHAnsi"/>
          <w:sz w:val="24"/>
          <w:szCs w:val="24"/>
        </w:rPr>
        <w:t> </w:t>
      </w:r>
      <w:r w:rsidRPr="004A3F4C">
        <w:rPr>
          <w:rFonts w:asciiTheme="majorHAnsi" w:hAnsiTheme="majorHAnsi" w:cstheme="majorHAnsi"/>
          <w:sz w:val="24"/>
          <w:szCs w:val="24"/>
        </w:rPr>
        <w:t>škole</w:t>
      </w:r>
      <w:r w:rsidR="00652AC9">
        <w:rPr>
          <w:rFonts w:asciiTheme="majorHAnsi" w:hAnsiTheme="majorHAnsi" w:cstheme="majorHAnsi"/>
          <w:sz w:val="24"/>
          <w:szCs w:val="24"/>
        </w:rPr>
        <w:t>,</w:t>
      </w:r>
      <w:r w:rsidRPr="004A3F4C">
        <w:rPr>
          <w:rFonts w:asciiTheme="majorHAnsi" w:hAnsiTheme="majorHAnsi" w:cstheme="majorHAnsi"/>
          <w:sz w:val="24"/>
          <w:szCs w:val="24"/>
        </w:rPr>
        <w:t xml:space="preserv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39D5E8C2" w14:textId="3B64D81C"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sz w:val="24"/>
          <w:szCs w:val="24"/>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5E4F3AD5" w14:textId="36C02C59" w:rsidR="004A3F4C" w:rsidRPr="004A3F4C" w:rsidRDefault="004A3F4C" w:rsidP="004A3F4C">
      <w:pPr>
        <w:numPr>
          <w:ilvl w:val="0"/>
          <w:numId w:val="4"/>
        </w:numPr>
        <w:jc w:val="both"/>
        <w:rPr>
          <w:rFonts w:asciiTheme="majorHAnsi" w:hAnsiTheme="majorHAnsi" w:cstheme="majorHAnsi"/>
          <w:sz w:val="24"/>
          <w:szCs w:val="24"/>
        </w:rPr>
      </w:pPr>
      <w:r w:rsidRPr="004A3F4C">
        <w:rPr>
          <w:rFonts w:asciiTheme="majorHAnsi" w:hAnsiTheme="majorHAnsi" w:cstheme="majorHAnsi"/>
          <w:sz w:val="24"/>
          <w:szCs w:val="24"/>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14:paraId="30CF14D4" w14:textId="77777777" w:rsidR="004A3F4C" w:rsidRDefault="004A3F4C" w:rsidP="004A3F4C">
      <w:pPr>
        <w:jc w:val="both"/>
        <w:rPr>
          <w:rFonts w:asciiTheme="majorHAnsi" w:hAnsiTheme="majorHAnsi" w:cstheme="majorHAnsi"/>
          <w:sz w:val="24"/>
          <w:szCs w:val="24"/>
        </w:rPr>
      </w:pPr>
    </w:p>
    <w:p w14:paraId="38E44C3C" w14:textId="77777777" w:rsidR="004A3F4C" w:rsidRPr="004A3F4C" w:rsidRDefault="004A3F4C" w:rsidP="004A3F4C">
      <w:pPr>
        <w:jc w:val="both"/>
        <w:rPr>
          <w:rFonts w:asciiTheme="majorHAnsi" w:hAnsiTheme="majorHAnsi" w:cstheme="majorHAnsi"/>
          <w:sz w:val="24"/>
          <w:szCs w:val="24"/>
        </w:rPr>
      </w:pPr>
    </w:p>
    <w:sectPr w:rsidR="004A3F4C" w:rsidRPr="004A3F4C" w:rsidSect="00E72F99">
      <w:headerReference w:type="default"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C8266" w14:textId="77777777" w:rsidR="00784C1F" w:rsidRDefault="00784C1F" w:rsidP="00E72F99">
      <w:pPr>
        <w:spacing w:after="0" w:line="240" w:lineRule="auto"/>
      </w:pPr>
      <w:r>
        <w:separator/>
      </w:r>
    </w:p>
  </w:endnote>
  <w:endnote w:type="continuationSeparator" w:id="0">
    <w:p w14:paraId="4E351ED8" w14:textId="77777777" w:rsidR="00784C1F" w:rsidRDefault="00784C1F" w:rsidP="00E7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098560"/>
      <w:docPartObj>
        <w:docPartGallery w:val="Page Numbers (Bottom of Page)"/>
        <w:docPartUnique/>
      </w:docPartObj>
    </w:sdtPr>
    <w:sdtContent>
      <w:p w14:paraId="38F58160" w14:textId="5F8E0ED3" w:rsidR="008974D3" w:rsidRDefault="008974D3">
        <w:pPr>
          <w:pStyle w:val="Pta"/>
          <w:jc w:val="center"/>
        </w:pPr>
        <w:r>
          <w:fldChar w:fldCharType="begin"/>
        </w:r>
        <w:r>
          <w:instrText>PAGE   \* MERGEFORMAT</w:instrText>
        </w:r>
        <w:r>
          <w:fldChar w:fldCharType="separate"/>
        </w:r>
        <w:r>
          <w:t>2</w:t>
        </w:r>
        <w:r>
          <w:fldChar w:fldCharType="end"/>
        </w:r>
      </w:p>
    </w:sdtContent>
  </w:sdt>
  <w:p w14:paraId="3F2FE37F" w14:textId="77777777" w:rsidR="00943627" w:rsidRDefault="009436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53C5" w14:textId="77777777" w:rsidR="00784C1F" w:rsidRDefault="00784C1F" w:rsidP="00E72F99">
      <w:pPr>
        <w:spacing w:after="0" w:line="240" w:lineRule="auto"/>
      </w:pPr>
      <w:r>
        <w:separator/>
      </w:r>
    </w:p>
  </w:footnote>
  <w:footnote w:type="continuationSeparator" w:id="0">
    <w:p w14:paraId="13873894" w14:textId="77777777" w:rsidR="00784C1F" w:rsidRDefault="00784C1F" w:rsidP="00E72F99">
      <w:pPr>
        <w:spacing w:after="0" w:line="240" w:lineRule="auto"/>
      </w:pPr>
      <w:r>
        <w:continuationSeparator/>
      </w:r>
    </w:p>
  </w:footnote>
  <w:footnote w:id="1">
    <w:p w14:paraId="69F98B5E" w14:textId="77777777" w:rsidR="00652AC9" w:rsidRPr="004A3F4C" w:rsidRDefault="00652AC9" w:rsidP="00652AC9">
      <w:pPr>
        <w:jc w:val="both"/>
        <w:rPr>
          <w:rFonts w:asciiTheme="majorHAnsi" w:hAnsiTheme="majorHAnsi" w:cstheme="majorHAnsi"/>
          <w:sz w:val="16"/>
          <w:szCs w:val="16"/>
        </w:rPr>
      </w:pPr>
      <w:r>
        <w:rPr>
          <w:rStyle w:val="Odkaznapoznmkupodiarou"/>
        </w:rPr>
        <w:footnoteRef/>
      </w:r>
      <w:r>
        <w:t xml:space="preserve"> </w:t>
      </w:r>
      <w:r w:rsidRPr="004A3F4C">
        <w:rPr>
          <w:rFonts w:asciiTheme="majorHAnsi" w:hAnsiTheme="majorHAnsi" w:cstheme="majorHAnsi"/>
          <w:sz w:val="16"/>
          <w:szCs w:val="16"/>
        </w:rPr>
        <w:t xml:space="preserve">36 Metodická príručka desegregácie vo výchove a vzdelávaní (MŠVVaŠ SR, 2023) </w:t>
      </w:r>
    </w:p>
    <w:p w14:paraId="25648910" w14:textId="77777777" w:rsidR="00652AC9" w:rsidRPr="004A3F4C" w:rsidRDefault="00652AC9" w:rsidP="00652AC9">
      <w:pPr>
        <w:jc w:val="both"/>
        <w:rPr>
          <w:rFonts w:asciiTheme="majorHAnsi" w:hAnsiTheme="majorHAnsi" w:cstheme="majorHAnsi"/>
          <w:sz w:val="16"/>
          <w:szCs w:val="16"/>
        </w:rPr>
      </w:pPr>
      <w:r w:rsidRPr="004A3F4C">
        <w:rPr>
          <w:rFonts w:asciiTheme="majorHAnsi" w:hAnsiTheme="majorHAnsi" w:cstheme="majorHAnsi"/>
          <w:sz w:val="16"/>
          <w:szCs w:val="16"/>
        </w:rPr>
        <w:t xml:space="preserve">37 Chránené dôvody podľa antidiskriminačného zákona sú charakteristiky ľudí, úzko spojené s ich dôstojnosťou a identitou, ktoré nesmú byť zneužité pre neprípustné rozdielne zaobchádzanie s nimi. Sú to: </w:t>
      </w:r>
      <w:r w:rsidRPr="004A3F4C">
        <w:rPr>
          <w:rFonts w:asciiTheme="majorHAnsi" w:hAnsiTheme="majorHAnsi" w:cstheme="majorHAnsi"/>
          <w:i/>
          <w:iCs/>
          <w:sz w:val="16"/>
          <w:szCs w:val="16"/>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r w:rsidRPr="004A3F4C">
        <w:rPr>
          <w:rFonts w:asciiTheme="majorHAnsi" w:hAnsiTheme="majorHAnsi" w:cstheme="majorHAnsi"/>
          <w:sz w:val="16"/>
          <w:szCs w:val="16"/>
        </w:rPr>
        <w:t xml:space="preserve">§ 2 ods. 1 zákona č. 365/2004 Z. z. </w:t>
      </w:r>
    </w:p>
    <w:p w14:paraId="1CEB0494" w14:textId="77777777" w:rsidR="00652AC9" w:rsidRPr="004A3F4C" w:rsidRDefault="00652AC9" w:rsidP="00652AC9">
      <w:pPr>
        <w:jc w:val="both"/>
        <w:rPr>
          <w:rFonts w:asciiTheme="majorHAnsi" w:hAnsiTheme="majorHAnsi" w:cstheme="majorHAnsi"/>
          <w:sz w:val="16"/>
          <w:szCs w:val="16"/>
        </w:rPr>
      </w:pPr>
      <w:r w:rsidRPr="004A3F4C">
        <w:rPr>
          <w:rFonts w:asciiTheme="majorHAnsi" w:hAnsiTheme="majorHAnsi" w:cstheme="majorHAnsi"/>
          <w:sz w:val="16"/>
          <w:szCs w:val="16"/>
        </w:rPr>
        <w:t xml:space="preserve">38 § 2 ods. 1 zákona č. 365/2004 Z. z. (antidiskriminačný zákon) </w:t>
      </w:r>
    </w:p>
    <w:p w14:paraId="7F1B6C77" w14:textId="77777777" w:rsidR="00652AC9" w:rsidRPr="004A3F4C" w:rsidRDefault="00652AC9" w:rsidP="00652AC9">
      <w:pPr>
        <w:jc w:val="both"/>
        <w:rPr>
          <w:rFonts w:asciiTheme="majorHAnsi" w:hAnsiTheme="majorHAnsi" w:cstheme="majorHAnsi"/>
          <w:sz w:val="16"/>
          <w:szCs w:val="16"/>
        </w:rPr>
      </w:pPr>
      <w:r w:rsidRPr="004A3F4C">
        <w:rPr>
          <w:rFonts w:asciiTheme="majorHAnsi" w:hAnsiTheme="majorHAnsi" w:cstheme="majorHAnsi"/>
          <w:sz w:val="16"/>
          <w:szCs w:val="16"/>
        </w:rPr>
        <w:t xml:space="preserve">39 § 7a zákona č. 245/2008 Z. z. (školský zákon) </w:t>
      </w:r>
    </w:p>
    <w:p w14:paraId="5A1D151A" w14:textId="77777777" w:rsidR="00652AC9" w:rsidRDefault="00652AC9" w:rsidP="00652AC9">
      <w:pPr>
        <w:jc w:val="both"/>
        <w:rPr>
          <w:rFonts w:asciiTheme="majorHAnsi" w:hAnsiTheme="majorHAnsi" w:cstheme="majorHAnsi"/>
          <w:sz w:val="16"/>
          <w:szCs w:val="16"/>
        </w:rPr>
      </w:pPr>
      <w:r w:rsidRPr="004A3F4C">
        <w:rPr>
          <w:rFonts w:asciiTheme="majorHAnsi" w:hAnsiTheme="majorHAnsi" w:cstheme="majorHAnsi"/>
          <w:sz w:val="16"/>
          <w:szCs w:val="16"/>
        </w:rPr>
        <w:t xml:space="preserve">40 § 26 zákona č. 245/2008 Z. z. (školský zákon) </w:t>
      </w:r>
    </w:p>
    <w:p w14:paraId="713968E8" w14:textId="77777777" w:rsidR="00652AC9" w:rsidRPr="004A3F4C" w:rsidRDefault="00652AC9" w:rsidP="00652AC9">
      <w:pPr>
        <w:jc w:val="both"/>
        <w:rPr>
          <w:rFonts w:asciiTheme="majorHAnsi" w:hAnsiTheme="majorHAnsi" w:cstheme="majorHAnsi"/>
          <w:sz w:val="16"/>
          <w:szCs w:val="16"/>
        </w:rPr>
      </w:pPr>
    </w:p>
    <w:p w14:paraId="28BF7AA9" w14:textId="77777777" w:rsidR="00652AC9" w:rsidRDefault="00652AC9" w:rsidP="00652AC9">
      <w:pPr>
        <w:jc w:val="both"/>
        <w:rPr>
          <w:rFonts w:asciiTheme="majorHAnsi" w:hAnsiTheme="majorHAnsi" w:cstheme="majorHAnsi"/>
          <w:sz w:val="16"/>
          <w:szCs w:val="16"/>
        </w:rPr>
      </w:pPr>
      <w:r w:rsidRPr="004A3F4C">
        <w:rPr>
          <w:rFonts w:asciiTheme="majorHAnsi" w:hAnsiTheme="majorHAnsi" w:cstheme="majorHAnsi"/>
          <w:sz w:val="16"/>
          <w:szCs w:val="16"/>
        </w:rPr>
        <w:t xml:space="preserve">41 § 145a zákona č. 245/2008 Z. z. (školský zákon) </w:t>
      </w:r>
      <w:r>
        <w:rPr>
          <w:rStyle w:val="Odkaznapoznmkupodiarou"/>
          <w:rFonts w:asciiTheme="majorHAnsi" w:hAnsiTheme="majorHAnsi" w:cstheme="majorHAnsi"/>
          <w:sz w:val="16"/>
          <w:szCs w:val="16"/>
        </w:rPr>
        <w:footnoteRef/>
      </w:r>
    </w:p>
    <w:p w14:paraId="07B6F404" w14:textId="16D0ED9D" w:rsidR="00652AC9" w:rsidRPr="004A3F4C" w:rsidRDefault="00652AC9" w:rsidP="00652AC9">
      <w:pPr>
        <w:jc w:val="both"/>
        <w:rPr>
          <w:rFonts w:asciiTheme="majorHAnsi" w:hAnsiTheme="majorHAnsi" w:cstheme="majorHAnsi"/>
          <w:sz w:val="16"/>
          <w:szCs w:val="16"/>
        </w:rPr>
      </w:pPr>
      <w:r w:rsidRPr="00652AC9">
        <w:rPr>
          <w:rFonts w:asciiTheme="majorHAnsi" w:hAnsiTheme="majorHAnsi" w:cstheme="majorHAnsi"/>
          <w:sz w:val="16"/>
          <w:szCs w:val="16"/>
        </w:rPr>
        <w:t>42 Podrobné informácie ku krízovým udalostiam na školách sú dostupné na webovom sídle ministerstva.</w:t>
      </w:r>
    </w:p>
    <w:p w14:paraId="1B0C4EFA" w14:textId="54D174AB" w:rsidR="00652AC9" w:rsidRDefault="00652AC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3685" w14:textId="77777777" w:rsidR="00526E81" w:rsidRDefault="00526E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F7913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7A894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D2D8F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75318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2865717">
    <w:abstractNumId w:val="2"/>
  </w:num>
  <w:num w:numId="2" w16cid:durableId="1854801256">
    <w:abstractNumId w:val="0"/>
  </w:num>
  <w:num w:numId="3" w16cid:durableId="225146914">
    <w:abstractNumId w:val="3"/>
  </w:num>
  <w:num w:numId="4" w16cid:durableId="14917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4C"/>
    <w:rsid w:val="004A3F4C"/>
    <w:rsid w:val="00526E81"/>
    <w:rsid w:val="00652AC9"/>
    <w:rsid w:val="006E01BC"/>
    <w:rsid w:val="006E2880"/>
    <w:rsid w:val="006E4681"/>
    <w:rsid w:val="00784C1F"/>
    <w:rsid w:val="008974D3"/>
    <w:rsid w:val="00943627"/>
    <w:rsid w:val="00972A0D"/>
    <w:rsid w:val="00E521F7"/>
    <w:rsid w:val="00E72F99"/>
    <w:rsid w:val="00F91D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C54F0"/>
  <w15:chartTrackingRefBased/>
  <w15:docId w15:val="{3930ECEC-49C3-4420-A763-CC66D905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A3F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4A3F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4A3F4C"/>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4A3F4C"/>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4A3F4C"/>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iPriority w:val="9"/>
    <w:semiHidden/>
    <w:unhideWhenUsed/>
    <w:qFormat/>
    <w:rsid w:val="004A3F4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A3F4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A3F4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A3F4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A3F4C"/>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4A3F4C"/>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4A3F4C"/>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4A3F4C"/>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4A3F4C"/>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4A3F4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A3F4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A3F4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A3F4C"/>
    <w:rPr>
      <w:rFonts w:eastAsiaTheme="majorEastAsia" w:cstheme="majorBidi"/>
      <w:color w:val="272727" w:themeColor="text1" w:themeTint="D8"/>
    </w:rPr>
  </w:style>
  <w:style w:type="paragraph" w:styleId="Nzov">
    <w:name w:val="Title"/>
    <w:basedOn w:val="Normlny"/>
    <w:next w:val="Normlny"/>
    <w:link w:val="NzovChar"/>
    <w:uiPriority w:val="10"/>
    <w:qFormat/>
    <w:rsid w:val="004A3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A3F4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A3F4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A3F4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A3F4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A3F4C"/>
    <w:rPr>
      <w:i/>
      <w:iCs/>
      <w:color w:val="404040" w:themeColor="text1" w:themeTint="BF"/>
    </w:rPr>
  </w:style>
  <w:style w:type="paragraph" w:styleId="Odsekzoznamu">
    <w:name w:val="List Paragraph"/>
    <w:basedOn w:val="Normlny"/>
    <w:uiPriority w:val="34"/>
    <w:qFormat/>
    <w:rsid w:val="004A3F4C"/>
    <w:pPr>
      <w:ind w:left="720"/>
      <w:contextualSpacing/>
    </w:pPr>
  </w:style>
  <w:style w:type="character" w:styleId="Intenzvnezvraznenie">
    <w:name w:val="Intense Emphasis"/>
    <w:basedOn w:val="Predvolenpsmoodseku"/>
    <w:uiPriority w:val="21"/>
    <w:qFormat/>
    <w:rsid w:val="004A3F4C"/>
    <w:rPr>
      <w:i/>
      <w:iCs/>
      <w:color w:val="2E74B5" w:themeColor="accent1" w:themeShade="BF"/>
    </w:rPr>
  </w:style>
  <w:style w:type="paragraph" w:styleId="Zvraznencitcia">
    <w:name w:val="Intense Quote"/>
    <w:basedOn w:val="Normlny"/>
    <w:next w:val="Normlny"/>
    <w:link w:val="ZvraznencitciaChar"/>
    <w:uiPriority w:val="30"/>
    <w:qFormat/>
    <w:rsid w:val="004A3F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4A3F4C"/>
    <w:rPr>
      <w:i/>
      <w:iCs/>
      <w:color w:val="2E74B5" w:themeColor="accent1" w:themeShade="BF"/>
    </w:rPr>
  </w:style>
  <w:style w:type="character" w:styleId="Zvraznenodkaz">
    <w:name w:val="Intense Reference"/>
    <w:basedOn w:val="Predvolenpsmoodseku"/>
    <w:uiPriority w:val="32"/>
    <w:qFormat/>
    <w:rsid w:val="004A3F4C"/>
    <w:rPr>
      <w:b/>
      <w:bCs/>
      <w:smallCaps/>
      <w:color w:val="2E74B5" w:themeColor="accent1" w:themeShade="BF"/>
      <w:spacing w:val="5"/>
    </w:rPr>
  </w:style>
  <w:style w:type="paragraph" w:styleId="Textpoznmkypodiarou">
    <w:name w:val="footnote text"/>
    <w:basedOn w:val="Normlny"/>
    <w:link w:val="TextpoznmkypodiarouChar"/>
    <w:uiPriority w:val="99"/>
    <w:unhideWhenUsed/>
    <w:rsid w:val="00E72F9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2F99"/>
    <w:rPr>
      <w:sz w:val="20"/>
      <w:szCs w:val="20"/>
    </w:rPr>
  </w:style>
  <w:style w:type="character" w:styleId="Odkaznapoznmkupodiarou">
    <w:name w:val="footnote reference"/>
    <w:basedOn w:val="Predvolenpsmoodseku"/>
    <w:uiPriority w:val="99"/>
    <w:semiHidden/>
    <w:unhideWhenUsed/>
    <w:rsid w:val="00E72F99"/>
    <w:rPr>
      <w:vertAlign w:val="superscript"/>
    </w:rPr>
  </w:style>
  <w:style w:type="paragraph" w:styleId="Hlavika">
    <w:name w:val="header"/>
    <w:basedOn w:val="Normlny"/>
    <w:link w:val="HlavikaChar"/>
    <w:uiPriority w:val="99"/>
    <w:unhideWhenUsed/>
    <w:rsid w:val="00652A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AC9"/>
  </w:style>
  <w:style w:type="paragraph" w:styleId="Pta">
    <w:name w:val="footer"/>
    <w:basedOn w:val="Normlny"/>
    <w:link w:val="PtaChar"/>
    <w:uiPriority w:val="99"/>
    <w:unhideWhenUsed/>
    <w:rsid w:val="00652AC9"/>
    <w:pPr>
      <w:tabs>
        <w:tab w:val="center" w:pos="4536"/>
        <w:tab w:val="right" w:pos="9072"/>
      </w:tabs>
      <w:spacing w:after="0" w:line="240" w:lineRule="auto"/>
    </w:pPr>
  </w:style>
  <w:style w:type="character" w:customStyle="1" w:styleId="PtaChar">
    <w:name w:val="Päta Char"/>
    <w:basedOn w:val="Predvolenpsmoodseku"/>
    <w:link w:val="Pta"/>
    <w:uiPriority w:val="99"/>
    <w:rsid w:val="00652AC9"/>
  </w:style>
  <w:style w:type="paragraph" w:styleId="Zkladntext">
    <w:name w:val="Body Text"/>
    <w:basedOn w:val="Normlny"/>
    <w:link w:val="ZkladntextChar"/>
    <w:uiPriority w:val="1"/>
    <w:rsid w:val="00652AC9"/>
    <w:pPr>
      <w:spacing w:before="182" w:after="120" w:line="264" w:lineRule="auto"/>
      <w:ind w:left="116"/>
      <w:jc w:val="both"/>
    </w:pPr>
    <w:rPr>
      <w:rFonts w:eastAsiaTheme="minorEastAsia"/>
      <w:kern w:val="0"/>
      <w:sz w:val="24"/>
      <w:szCs w:val="24"/>
      <w:lang w:val="en-US"/>
      <w14:ligatures w14:val="none"/>
    </w:rPr>
  </w:style>
  <w:style w:type="character" w:customStyle="1" w:styleId="ZkladntextChar">
    <w:name w:val="Základný text Char"/>
    <w:basedOn w:val="Predvolenpsmoodseku"/>
    <w:link w:val="Zkladntext"/>
    <w:uiPriority w:val="1"/>
    <w:rsid w:val="00652AC9"/>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ydukova@staremest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8B31-8475-4241-B547-1FE093D1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1623</Words>
  <Characters>9252</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Heydukova</dc:creator>
  <cp:keywords/>
  <dc:description/>
  <cp:lastModifiedBy>MŠ Heydukova</cp:lastModifiedBy>
  <cp:revision>8</cp:revision>
  <dcterms:created xsi:type="dcterms:W3CDTF">2025-02-13T12:42:00Z</dcterms:created>
  <dcterms:modified xsi:type="dcterms:W3CDTF">2025-02-13T13:26:00Z</dcterms:modified>
</cp:coreProperties>
</file>